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4D709C" w:rsidRPr="004936C7" w:rsidTr="00DB3693">
        <w:trPr>
          <w:trHeight w:val="699"/>
        </w:trPr>
        <w:tc>
          <w:tcPr>
            <w:tcW w:w="3828" w:type="dxa"/>
          </w:tcPr>
          <w:p w:rsidR="004D709C" w:rsidRPr="004936C7" w:rsidRDefault="004D709C" w:rsidP="00DB3693">
            <w:pPr>
              <w:jc w:val="center"/>
              <w:rPr>
                <w:lang w:val="en-US"/>
              </w:rPr>
            </w:pPr>
            <w:r w:rsidRPr="004936C7">
              <w:rPr>
                <w:lang w:val="en-US"/>
              </w:rPr>
              <w:t>UBND XÃ BÌNH MINH</w:t>
            </w:r>
          </w:p>
          <w:p w:rsidR="004D709C" w:rsidRPr="004936C7" w:rsidRDefault="004D709C" w:rsidP="00DB3693">
            <w:pPr>
              <w:jc w:val="center"/>
              <w:rPr>
                <w:b/>
                <w:lang w:val="en-US"/>
              </w:rPr>
            </w:pPr>
            <w:r w:rsidRPr="004936C7">
              <w:rPr>
                <w:b/>
                <w:noProof/>
              </w:rPr>
              <mc:AlternateContent>
                <mc:Choice Requires="wps">
                  <w:drawing>
                    <wp:anchor distT="0" distB="0" distL="114300" distR="114300" simplePos="0" relativeHeight="251659264" behindDoc="0" locked="0" layoutInCell="1" allowOverlap="1">
                      <wp:simplePos x="0" y="0"/>
                      <wp:positionH relativeFrom="column">
                        <wp:posOffset>459105</wp:posOffset>
                      </wp:positionH>
                      <wp:positionV relativeFrom="paragraph">
                        <wp:posOffset>187325</wp:posOffset>
                      </wp:positionV>
                      <wp:extent cx="1028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83D6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15pt,14.75pt" to="117.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pitwEAAMMDAAAOAAAAZHJzL2Uyb0RvYy54bWysU8Fu2zAMvQ/YPwi6L3ZSYC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" strokecolor="#4472c4 [3204]" strokeweight=".5pt">
                      <v:stroke joinstyle="miter"/>
                    </v:line>
                  </w:pict>
                </mc:Fallback>
              </mc:AlternateContent>
            </w:r>
            <w:r w:rsidRPr="004936C7">
              <w:rPr>
                <w:b/>
                <w:lang w:val="en-US"/>
              </w:rPr>
              <w:t>TRƯỜNG TH TÂN THÀNH</w:t>
            </w:r>
          </w:p>
        </w:tc>
        <w:tc>
          <w:tcPr>
            <w:tcW w:w="6095" w:type="dxa"/>
          </w:tcPr>
          <w:p w:rsidR="004D709C" w:rsidRPr="004936C7" w:rsidRDefault="004D709C" w:rsidP="00DB3693">
            <w:pPr>
              <w:jc w:val="center"/>
              <w:rPr>
                <w:b/>
                <w:lang w:val="en-US"/>
              </w:rPr>
            </w:pPr>
            <w:r w:rsidRPr="004936C7">
              <w:rPr>
                <w:b/>
                <w:lang w:val="en-US"/>
              </w:rPr>
              <w:t>CỘNG HÒA XÃ HỘI CHỦ NGHĨA VIỆT NAM</w:t>
            </w:r>
          </w:p>
          <w:p w:rsidR="004D709C" w:rsidRPr="004936C7" w:rsidRDefault="004D709C" w:rsidP="00DB3693">
            <w:pPr>
              <w:jc w:val="center"/>
              <w:rPr>
                <w:lang w:val="en-US"/>
              </w:rPr>
            </w:pPr>
            <w:r w:rsidRPr="004936C7">
              <w:rPr>
                <w:b/>
                <w:noProof/>
              </w:rPr>
              <mc:AlternateContent>
                <mc:Choice Requires="wps">
                  <w:drawing>
                    <wp:anchor distT="0" distB="0" distL="114300" distR="114300" simplePos="0" relativeHeight="251660288" behindDoc="0" locked="0" layoutInCell="1" allowOverlap="1">
                      <wp:simplePos x="0" y="0"/>
                      <wp:positionH relativeFrom="column">
                        <wp:posOffset>990600</wp:posOffset>
                      </wp:positionH>
                      <wp:positionV relativeFrom="paragraph">
                        <wp:posOffset>206375</wp:posOffset>
                      </wp:positionV>
                      <wp:extent cx="1790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27D2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pt,16.25pt" to="21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CntgEAAMMDAAAOAAAAZHJzL2Uyb0RvYy54bWysU8GOEzEMvSPxD1HudKarF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" strokecolor="#4472c4 [3204]" strokeweight=".5pt">
                      <v:stroke joinstyle="miter"/>
                    </v:line>
                  </w:pict>
                </mc:Fallback>
              </mc:AlternateContent>
            </w:r>
            <w:r w:rsidRPr="004936C7">
              <w:rPr>
                <w:b/>
                <w:lang w:val="en-US"/>
              </w:rPr>
              <w:t>Độc lập- Tự do- Hạnh phúc</w:t>
            </w:r>
          </w:p>
        </w:tc>
      </w:tr>
      <w:tr w:rsidR="004D709C" w:rsidRPr="004936C7" w:rsidTr="00DB3693">
        <w:tc>
          <w:tcPr>
            <w:tcW w:w="3828" w:type="dxa"/>
          </w:tcPr>
          <w:p w:rsidR="004D709C" w:rsidRPr="004936C7" w:rsidRDefault="004D709C" w:rsidP="00DB3693">
            <w:pPr>
              <w:jc w:val="center"/>
            </w:pPr>
          </w:p>
        </w:tc>
        <w:tc>
          <w:tcPr>
            <w:tcW w:w="6095" w:type="dxa"/>
          </w:tcPr>
          <w:p w:rsidR="004D709C" w:rsidRPr="004936C7" w:rsidRDefault="004D709C"/>
        </w:tc>
      </w:tr>
      <w:tr w:rsidR="004D709C" w:rsidRPr="004936C7" w:rsidTr="00DB3693">
        <w:tc>
          <w:tcPr>
            <w:tcW w:w="3828" w:type="dxa"/>
          </w:tcPr>
          <w:p w:rsidR="004D709C" w:rsidRPr="004936C7" w:rsidRDefault="004D709C" w:rsidP="00DB3693">
            <w:pPr>
              <w:jc w:val="center"/>
              <w:rPr>
                <w:lang w:val="en-US"/>
              </w:rPr>
            </w:pPr>
            <w:r w:rsidRPr="004936C7">
              <w:rPr>
                <w:lang w:val="en-US"/>
              </w:rPr>
              <w:t xml:space="preserve">Số </w:t>
            </w:r>
            <w:r>
              <w:rPr>
                <w:lang w:val="en-US"/>
              </w:rPr>
              <w:t>….</w:t>
            </w:r>
            <w:r w:rsidRPr="004936C7">
              <w:rPr>
                <w:lang w:val="en-US"/>
              </w:rPr>
              <w:t>/</w:t>
            </w:r>
            <w:r w:rsidR="00573FC3">
              <w:rPr>
                <w:lang w:val="en-US"/>
              </w:rPr>
              <w:t>TTHC</w:t>
            </w:r>
            <w:r w:rsidRPr="004936C7">
              <w:rPr>
                <w:lang w:val="en-US"/>
              </w:rPr>
              <w:t>-THTT</w:t>
            </w:r>
          </w:p>
        </w:tc>
        <w:tc>
          <w:tcPr>
            <w:tcW w:w="6095" w:type="dxa"/>
          </w:tcPr>
          <w:p w:rsidR="004D709C" w:rsidRPr="004936C7" w:rsidRDefault="004D709C" w:rsidP="00DB3693">
            <w:pPr>
              <w:jc w:val="right"/>
              <w:rPr>
                <w:i/>
                <w:sz w:val="28"/>
                <w:szCs w:val="28"/>
                <w:lang w:val="en-US"/>
              </w:rPr>
            </w:pPr>
            <w:r w:rsidRPr="004936C7">
              <w:rPr>
                <w:i/>
                <w:sz w:val="28"/>
                <w:szCs w:val="28"/>
                <w:lang w:val="en-US"/>
              </w:rPr>
              <w:t xml:space="preserve">Bình Minh, ngày 04 thánh </w:t>
            </w:r>
            <w:r>
              <w:rPr>
                <w:i/>
                <w:sz w:val="28"/>
                <w:szCs w:val="28"/>
                <w:lang w:val="en-US"/>
              </w:rPr>
              <w:t>08</w:t>
            </w:r>
            <w:r w:rsidRPr="004936C7">
              <w:rPr>
                <w:i/>
                <w:sz w:val="28"/>
                <w:szCs w:val="28"/>
                <w:lang w:val="en-US"/>
              </w:rPr>
              <w:t xml:space="preserve"> năm 2025</w:t>
            </w:r>
          </w:p>
        </w:tc>
      </w:tr>
    </w:tbl>
    <w:p w:rsidR="004D709C" w:rsidRPr="004D709C" w:rsidRDefault="004D709C" w:rsidP="004D709C">
      <w:pPr>
        <w:spacing w:before="100" w:beforeAutospacing="1" w:after="100" w:afterAutospacing="1"/>
        <w:outlineLvl w:val="1"/>
        <w:rPr>
          <w:rFonts w:eastAsia="Times New Roman" w:cs="Times New Roman"/>
          <w:b/>
          <w:bCs/>
          <w:sz w:val="28"/>
          <w:szCs w:val="28"/>
          <w:lang w:eastAsia="en-US" w:bidi="ar-SA"/>
        </w:rPr>
      </w:pPr>
      <w:r w:rsidRPr="004D709C">
        <w:rPr>
          <w:rFonts w:eastAsia="Times New Roman" w:cs="Times New Roman"/>
          <w:b/>
          <w:bCs/>
          <w:sz w:val="28"/>
          <w:szCs w:val="28"/>
          <w:lang w:eastAsia="en-US" w:bidi="ar-SA"/>
        </w:rPr>
        <w:t>I. THỦ TỤC LIÊN QUAN ĐẾN TUYỂN SINH VÀ HỌC TẬP CỦA HỌC SINH</w:t>
      </w:r>
    </w:p>
    <w:p w:rsidR="004D709C" w:rsidRPr="004D709C" w:rsidRDefault="004D709C" w:rsidP="004D709C">
      <w:pPr>
        <w:spacing w:before="100" w:beforeAutospacing="1" w:after="100" w:afterAutospacing="1"/>
        <w:outlineLvl w:val="2"/>
        <w:rPr>
          <w:rFonts w:eastAsia="Times New Roman" w:cs="Times New Roman"/>
          <w:b/>
          <w:bCs/>
          <w:sz w:val="27"/>
          <w:szCs w:val="27"/>
          <w:lang w:val="en-US" w:eastAsia="en-US" w:bidi="ar-SA"/>
        </w:rPr>
      </w:pPr>
      <w:r w:rsidRPr="004D709C">
        <w:rPr>
          <w:rFonts w:eastAsia="Times New Roman" w:cs="Times New Roman"/>
          <w:b/>
          <w:bCs/>
          <w:sz w:val="27"/>
          <w:szCs w:val="27"/>
          <w:lang w:val="en-US" w:eastAsia="en-US" w:bidi="ar-SA"/>
        </w:rPr>
        <w:t>1. Thủ tục Tuyển sinh vào lớp 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3"/>
        <w:gridCol w:w="5254"/>
        <w:gridCol w:w="3356"/>
      </w:tblGrid>
      <w:tr w:rsidR="004D709C" w:rsidRPr="004D709C" w:rsidTr="004D709C">
        <w:trPr>
          <w:tblHeader/>
          <w:tblCellSpacing w:w="15" w:type="dxa"/>
        </w:trPr>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Nội dung Công khai</w:t>
            </w:r>
          </w:p>
        </w:tc>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Chi tiết</w:t>
            </w:r>
          </w:p>
        </w:tc>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Mẫu biểu Kèm theo</w:t>
            </w: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Trình tự thực hiện</w:t>
            </w:r>
          </w:p>
        </w:tc>
        <w:tc>
          <w:tcPr>
            <w:tcW w:w="0" w:type="auto"/>
            <w:vAlign w:val="center"/>
            <w:hideMark/>
          </w:tcPr>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Bước 1 (PH):</w:t>
            </w:r>
            <w:r w:rsidRPr="004D709C">
              <w:rPr>
                <w:rFonts w:eastAsia="Times New Roman" w:cs="Times New Roman"/>
                <w:sz w:val="24"/>
                <w:szCs w:val="24"/>
                <w:lang w:val="en-US" w:eastAsia="en-US" w:bidi="ar-SA"/>
              </w:rPr>
              <w:t xml:space="preserve"> Nộp hồ sơ (trực tuyến theo hệ thống của </w:t>
            </w:r>
            <w:r>
              <w:rPr>
                <w:rFonts w:eastAsia="Times New Roman" w:cs="Times New Roman"/>
                <w:sz w:val="24"/>
                <w:szCs w:val="24"/>
                <w:lang w:val="en-US" w:eastAsia="en-US" w:bidi="ar-SA"/>
              </w:rPr>
              <w:t>trường</w:t>
            </w:r>
            <w:r w:rsidRPr="004D709C">
              <w:rPr>
                <w:rFonts w:eastAsia="Times New Roman" w:cs="Times New Roman"/>
                <w:sz w:val="24"/>
                <w:szCs w:val="24"/>
                <w:lang w:val="en-US" w:eastAsia="en-US" w:bidi="ar-SA"/>
              </w:rPr>
              <w:t xml:space="preserve">, hoặc trực tiếp tại trường theo thông báo). </w:t>
            </w:r>
          </w:p>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Bước 2 (Trường):</w:t>
            </w:r>
            <w:r w:rsidRPr="004D709C">
              <w:rPr>
                <w:rFonts w:eastAsia="Times New Roman" w:cs="Times New Roman"/>
                <w:sz w:val="24"/>
                <w:szCs w:val="24"/>
                <w:lang w:val="en-US" w:eastAsia="en-US" w:bidi="ar-SA"/>
              </w:rPr>
              <w:t xml:space="preserve"> Tiếp nhận, kiểm tra hồ sơ và nhập dữ liệu vào hệ thống. </w:t>
            </w:r>
          </w:p>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Bước 3 (Trường):</w:t>
            </w:r>
            <w:r w:rsidRPr="004D709C">
              <w:rPr>
                <w:rFonts w:eastAsia="Times New Roman" w:cs="Times New Roman"/>
                <w:sz w:val="24"/>
                <w:szCs w:val="24"/>
                <w:lang w:val="en-US" w:eastAsia="en-US" w:bidi="ar-SA"/>
              </w:rPr>
              <w:t xml:space="preserve"> Thông báo kết quả trúng tuyển và hướng dẫn nhập học chính thức.</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Mẫu 1: </w:t>
            </w:r>
            <w:r w:rsidRPr="004D709C">
              <w:rPr>
                <w:rFonts w:eastAsia="Times New Roman" w:cs="Times New Roman"/>
                <w:b/>
                <w:bCs/>
                <w:sz w:val="24"/>
                <w:szCs w:val="24"/>
                <w:lang w:val="en-US" w:eastAsia="en-US" w:bidi="ar-SA"/>
              </w:rPr>
              <w:t xml:space="preserve">Đơn xin </w:t>
            </w:r>
            <w:r>
              <w:rPr>
                <w:rFonts w:eastAsia="Times New Roman" w:cs="Times New Roman"/>
                <w:b/>
                <w:bCs/>
                <w:sz w:val="24"/>
                <w:szCs w:val="24"/>
                <w:lang w:val="en-US" w:eastAsia="en-US" w:bidi="ar-SA"/>
              </w:rPr>
              <w:t>tuyển sinh lớp 1</w:t>
            </w:r>
            <w:r w:rsidRPr="004D709C">
              <w:rPr>
                <w:rFonts w:eastAsia="Times New Roman" w:cs="Times New Roman"/>
                <w:sz w:val="24"/>
                <w:szCs w:val="24"/>
                <w:lang w:val="en-US" w:eastAsia="en-US" w:bidi="ar-SA"/>
              </w:rPr>
              <w:t xml:space="preserve"> (Theo mẫu quy định của Trường)</w:t>
            </w: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Cách thức thực hiện</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Trực tuyến (qua cổng thông tin điện tử của địa phương) hoặc Trực tiếp tại Văn phòng trường.</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Mẫu 2: </w:t>
            </w:r>
            <w:r w:rsidRPr="004D709C">
              <w:rPr>
                <w:rFonts w:eastAsia="Times New Roman" w:cs="Times New Roman"/>
                <w:b/>
                <w:bCs/>
                <w:sz w:val="24"/>
                <w:szCs w:val="24"/>
                <w:lang w:val="en-US" w:eastAsia="en-US" w:bidi="ar-SA"/>
              </w:rPr>
              <w:t>Phiếu đăng ký thông tin</w:t>
            </w:r>
            <w:r w:rsidRPr="004D709C">
              <w:rPr>
                <w:rFonts w:eastAsia="Times New Roman" w:cs="Times New Roman"/>
                <w:sz w:val="24"/>
                <w:szCs w:val="24"/>
                <w:lang w:val="en-US" w:eastAsia="en-US" w:bidi="ar-SA"/>
              </w:rPr>
              <w:t xml:space="preserve"> (Dành cho trường hợp đăng ký trực tuyến)</w:t>
            </w: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Thành phần Hồ sơ</w:t>
            </w:r>
          </w:p>
        </w:tc>
        <w:tc>
          <w:tcPr>
            <w:tcW w:w="0" w:type="auto"/>
            <w:vAlign w:val="center"/>
            <w:hideMark/>
          </w:tcPr>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1. Đơn xin nhập học (Mẫu 1). </w:t>
            </w:r>
          </w:p>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2. Bản sao Giấy khai sinh hợp lệ (không cần công chứng nếu đã có dữ liệu trên CSDL quốc gia về dân cư). </w:t>
            </w:r>
          </w:p>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3. Giấy xác nhận thông tin về cư trú (hoặc Thẻ Căn cước công dân).</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Thời hạn giải quyết</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Theo </w:t>
            </w:r>
            <w:r w:rsidRPr="004D709C">
              <w:rPr>
                <w:rFonts w:eastAsia="Times New Roman" w:cs="Times New Roman"/>
                <w:b/>
                <w:bCs/>
                <w:sz w:val="24"/>
                <w:szCs w:val="24"/>
                <w:lang w:val="en-US" w:eastAsia="en-US" w:bidi="ar-SA"/>
              </w:rPr>
              <w:t>Kế hoạch tuyển sinh hàng năm</w:t>
            </w:r>
            <w:r w:rsidRPr="004D709C">
              <w:rPr>
                <w:rFonts w:eastAsia="Times New Roman" w:cs="Times New Roman"/>
                <w:sz w:val="24"/>
                <w:szCs w:val="24"/>
                <w:lang w:val="en-US" w:eastAsia="en-US" w:bidi="ar-SA"/>
              </w:rPr>
              <w:t xml:space="preserve"> của (ghi rõ ngày bắt đầu và kết thúc).</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Cơ quan giải quyết</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Hội đồng Tuyển sinh của Trường Tiểu học Tân Thành.</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Căn cứ pháp lý</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Điều lệ Trường Tiểu học (Thông tư 28/2020/TT-BGDĐT); Quy định tuyển sinh hàng năm của UBND Tỉnh và </w:t>
            </w:r>
            <w:r>
              <w:rPr>
                <w:rFonts w:eastAsia="Times New Roman" w:cs="Times New Roman"/>
                <w:sz w:val="24"/>
                <w:szCs w:val="24"/>
                <w:lang w:val="en-US" w:eastAsia="en-US" w:bidi="ar-SA"/>
              </w:rPr>
              <w:t>Sở</w:t>
            </w:r>
            <w:r w:rsidRPr="004D709C">
              <w:rPr>
                <w:rFonts w:eastAsia="Times New Roman" w:cs="Times New Roman"/>
                <w:sz w:val="24"/>
                <w:szCs w:val="24"/>
                <w:lang w:val="en-US" w:eastAsia="en-US" w:bidi="ar-SA"/>
              </w:rPr>
              <w:t xml:space="preserve"> GDĐT.</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bl>
    <w:p w:rsidR="004D709C" w:rsidRPr="004D709C" w:rsidRDefault="004D709C" w:rsidP="004D709C">
      <w:pPr>
        <w:spacing w:before="100" w:beforeAutospacing="1" w:after="100" w:afterAutospacing="1"/>
        <w:outlineLvl w:val="2"/>
        <w:rPr>
          <w:rFonts w:eastAsia="Times New Roman" w:cs="Times New Roman"/>
          <w:b/>
          <w:bCs/>
          <w:sz w:val="27"/>
          <w:szCs w:val="27"/>
          <w:lang w:val="en-US" w:eastAsia="en-US" w:bidi="ar-SA"/>
        </w:rPr>
      </w:pPr>
      <w:r w:rsidRPr="004D709C">
        <w:rPr>
          <w:rFonts w:eastAsia="Times New Roman" w:cs="Times New Roman"/>
          <w:b/>
          <w:bCs/>
          <w:sz w:val="27"/>
          <w:szCs w:val="27"/>
          <w:lang w:val="en-US" w:eastAsia="en-US" w:bidi="ar-SA"/>
        </w:rPr>
        <w:t>2. Thủ tục Chuyển trường (Học sinh chuyển đến)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0"/>
        <w:gridCol w:w="5279"/>
        <w:gridCol w:w="3264"/>
      </w:tblGrid>
      <w:tr w:rsidR="004D709C" w:rsidRPr="004D709C" w:rsidTr="004D709C">
        <w:trPr>
          <w:tblHeader/>
          <w:tblCellSpacing w:w="15" w:type="dxa"/>
        </w:trPr>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Nội dung Công khai</w:t>
            </w:r>
          </w:p>
        </w:tc>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Chi tiết</w:t>
            </w:r>
          </w:p>
        </w:tc>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Mẫu biểu Kèm theo</w:t>
            </w: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Trình tự thực hiện</w:t>
            </w:r>
          </w:p>
        </w:tc>
        <w:tc>
          <w:tcPr>
            <w:tcW w:w="0" w:type="auto"/>
            <w:vAlign w:val="center"/>
            <w:hideMark/>
          </w:tcPr>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Bước 1 (PH):</w:t>
            </w:r>
            <w:r w:rsidRPr="004D709C">
              <w:rPr>
                <w:rFonts w:eastAsia="Times New Roman" w:cs="Times New Roman"/>
                <w:sz w:val="24"/>
                <w:szCs w:val="24"/>
                <w:lang w:val="en-US" w:eastAsia="en-US" w:bidi="ar-SA"/>
              </w:rPr>
              <w:t xml:space="preserve"> Nộp hồ sơ xin chuyển đến trường (cần có Giấy giới thiệu chuyển trường của trường cũ). </w:t>
            </w:r>
          </w:p>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Bước 2 (Trường):</w:t>
            </w:r>
            <w:r w:rsidRPr="004D709C">
              <w:rPr>
                <w:rFonts w:eastAsia="Times New Roman" w:cs="Times New Roman"/>
                <w:sz w:val="24"/>
                <w:szCs w:val="24"/>
                <w:lang w:val="en-US" w:eastAsia="en-US" w:bidi="ar-SA"/>
              </w:rPr>
              <w:t xml:space="preserve"> Hiệu trưởng xem xét hồ sơ, căn cứ vào </w:t>
            </w:r>
            <w:r w:rsidRPr="004D709C">
              <w:rPr>
                <w:rFonts w:eastAsia="Times New Roman" w:cs="Times New Roman"/>
                <w:b/>
                <w:bCs/>
                <w:sz w:val="24"/>
                <w:szCs w:val="24"/>
                <w:lang w:val="en-US" w:eastAsia="en-US" w:bidi="ar-SA"/>
              </w:rPr>
              <w:t>chỉ tiêu và điều kiện tiếp nhận</w:t>
            </w:r>
            <w:r w:rsidRPr="004D709C">
              <w:rPr>
                <w:rFonts w:eastAsia="Times New Roman" w:cs="Times New Roman"/>
                <w:sz w:val="24"/>
                <w:szCs w:val="24"/>
                <w:lang w:val="en-US" w:eastAsia="en-US" w:bidi="ar-SA"/>
              </w:rPr>
              <w:t xml:space="preserve">. </w:t>
            </w:r>
          </w:p>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Bước 3 (Trường):</w:t>
            </w:r>
            <w:r w:rsidRPr="004D709C">
              <w:rPr>
                <w:rFonts w:eastAsia="Times New Roman" w:cs="Times New Roman"/>
                <w:sz w:val="24"/>
                <w:szCs w:val="24"/>
                <w:lang w:val="en-US" w:eastAsia="en-US" w:bidi="ar-SA"/>
              </w:rPr>
              <w:t xml:space="preserve"> Ra Quyết định tiếp nhận học sinh chuyển đến, hướng dẫn PH hoàn thiện thủ tục còn lại.</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Mẫu 3: </w:t>
            </w:r>
            <w:r w:rsidRPr="004D709C">
              <w:rPr>
                <w:rFonts w:eastAsia="Times New Roman" w:cs="Times New Roman"/>
                <w:b/>
                <w:bCs/>
                <w:sz w:val="24"/>
                <w:szCs w:val="24"/>
                <w:lang w:val="en-US" w:eastAsia="en-US" w:bidi="ar-SA"/>
              </w:rPr>
              <w:t>Đơn xin chuyển trường</w:t>
            </w:r>
            <w:r w:rsidRPr="004D709C">
              <w:rPr>
                <w:rFonts w:eastAsia="Times New Roman" w:cs="Times New Roman"/>
                <w:sz w:val="24"/>
                <w:szCs w:val="24"/>
                <w:lang w:val="en-US" w:eastAsia="en-US" w:bidi="ar-SA"/>
              </w:rPr>
              <w:t xml:space="preserve"> (Nêu rõ lý do, địa chỉ cư trú mới)</w:t>
            </w: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Thành phần Hồ sơ</w:t>
            </w:r>
          </w:p>
        </w:tc>
        <w:tc>
          <w:tcPr>
            <w:tcW w:w="0" w:type="auto"/>
            <w:vAlign w:val="center"/>
            <w:hideMark/>
          </w:tcPr>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1. Đơn xin chuyển trường (Mẫu 3). </w:t>
            </w:r>
          </w:p>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2. Học bạ hợp lệ (bản chính).</w:t>
            </w:r>
            <w:r w:rsidR="00272233">
              <w:rPr>
                <w:rFonts w:eastAsia="Times New Roman" w:cs="Times New Roman"/>
                <w:sz w:val="24"/>
                <w:szCs w:val="24"/>
                <w:lang w:val="en-US" w:eastAsia="en-US" w:bidi="ar-SA"/>
              </w:rPr>
              <w:t xml:space="preserve"> Dữ liệu Học bạ điện tử; CSDL ngành</w:t>
            </w:r>
            <w:r w:rsidRPr="004D709C">
              <w:rPr>
                <w:rFonts w:eastAsia="Times New Roman" w:cs="Times New Roman"/>
                <w:sz w:val="24"/>
                <w:szCs w:val="24"/>
                <w:lang w:val="en-US" w:eastAsia="en-US" w:bidi="ar-SA"/>
              </w:rPr>
              <w:t xml:space="preserve"> </w:t>
            </w:r>
          </w:p>
          <w:p w:rsidR="00272233"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3. Giấy giới thiệu chuyển trường do Hiệu trưởng trường cũ cấp. </w:t>
            </w:r>
          </w:p>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lastRenderedPageBreak/>
              <w:t>4. Giấy xác nhận thông tin về cư trú (hoặc giấy tờ chứng minh chỗ ở mới).</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Thời hạn giải quyết</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0</w:t>
            </w:r>
            <w:r>
              <w:rPr>
                <w:rFonts w:eastAsia="Times New Roman" w:cs="Times New Roman"/>
                <w:sz w:val="24"/>
                <w:szCs w:val="24"/>
                <w:lang w:val="en-US" w:eastAsia="en-US" w:bidi="ar-SA"/>
              </w:rPr>
              <w:t>3</w:t>
            </w:r>
            <w:r w:rsidRPr="004D709C">
              <w:rPr>
                <w:rFonts w:eastAsia="Times New Roman" w:cs="Times New Roman"/>
                <w:sz w:val="24"/>
                <w:szCs w:val="24"/>
                <w:lang w:val="en-US" w:eastAsia="en-US" w:bidi="ar-SA"/>
              </w:rPr>
              <w:t xml:space="preserve"> ngày làm việc kể từ ngày nhận đủ hồ sơ hợp lệ.</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r w:rsidR="004D709C" w:rsidRPr="004D709C" w:rsidTr="004D709C">
        <w:trPr>
          <w:tblCellSpacing w:w="15" w:type="dxa"/>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Điều kiện tiếp nhận</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Phải là học sinh thuộc địa bàn tuyển sinh của trường (hoặc có lý do chính đáng và được Hiệu trưởng cho phép).</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bl>
    <w:p w:rsidR="004D709C" w:rsidRPr="004D709C" w:rsidRDefault="004D709C" w:rsidP="004D709C">
      <w:pPr>
        <w:spacing w:before="100" w:beforeAutospacing="1" w:after="100" w:afterAutospacing="1"/>
        <w:outlineLvl w:val="1"/>
        <w:rPr>
          <w:rFonts w:eastAsia="Times New Roman" w:cs="Times New Roman"/>
          <w:b/>
          <w:bCs/>
          <w:sz w:val="28"/>
          <w:szCs w:val="28"/>
          <w:lang w:val="en-US" w:eastAsia="en-US" w:bidi="ar-SA"/>
        </w:rPr>
      </w:pPr>
      <w:r w:rsidRPr="004D709C">
        <w:rPr>
          <w:rFonts w:eastAsia="Times New Roman" w:cs="Times New Roman"/>
          <w:b/>
          <w:bCs/>
          <w:sz w:val="28"/>
          <w:szCs w:val="28"/>
          <w:lang w:val="en-US" w:eastAsia="en-US" w:bidi="ar-SA"/>
        </w:rPr>
        <w:t>II. THỦ TỤC LIÊN QUAN ĐẾN CÁN BỘ, GIÁO VIÊN, NHÂN VIÊ</w:t>
      </w:r>
      <w:r>
        <w:rPr>
          <w:rFonts w:eastAsia="Times New Roman" w:cs="Times New Roman"/>
          <w:b/>
          <w:bCs/>
          <w:sz w:val="28"/>
          <w:szCs w:val="28"/>
          <w:lang w:val="en-US" w:eastAsia="en-US" w:bidi="ar-SA"/>
        </w:rPr>
        <w:t xml:space="preserve">N </w:t>
      </w:r>
      <w:r w:rsidRPr="004D709C">
        <w:rPr>
          <w:rFonts w:eastAsia="Times New Roman" w:cs="Times New Roman"/>
          <w:b/>
          <w:bCs/>
          <w:szCs w:val="28"/>
          <w:lang w:val="en-US" w:eastAsia="en-US" w:bidi="ar-SA"/>
        </w:rPr>
        <w:t>(CBGVNV)</w:t>
      </w:r>
    </w:p>
    <w:p w:rsidR="004D709C" w:rsidRPr="004D709C" w:rsidRDefault="004D709C" w:rsidP="004D709C">
      <w:pPr>
        <w:spacing w:before="100" w:beforeAutospacing="1" w:after="100" w:afterAutospacing="1"/>
        <w:outlineLvl w:val="2"/>
        <w:rPr>
          <w:rFonts w:eastAsia="Times New Roman" w:cs="Times New Roman"/>
          <w:b/>
          <w:bCs/>
          <w:sz w:val="27"/>
          <w:szCs w:val="27"/>
          <w:lang w:val="en-US" w:eastAsia="en-US" w:bidi="ar-SA"/>
        </w:rPr>
      </w:pPr>
      <w:r w:rsidRPr="004D709C">
        <w:rPr>
          <w:rFonts w:eastAsia="Times New Roman" w:cs="Times New Roman"/>
          <w:b/>
          <w:bCs/>
          <w:sz w:val="27"/>
          <w:szCs w:val="27"/>
          <w:lang w:val="en-US" w:eastAsia="en-US" w:bidi="ar-SA"/>
        </w:rPr>
        <w:t>3. Thủ tục Nâng lương thường xuyên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2"/>
        <w:gridCol w:w="6442"/>
        <w:gridCol w:w="2429"/>
      </w:tblGrid>
      <w:tr w:rsidR="004D709C" w:rsidRPr="004D709C" w:rsidTr="004D709C">
        <w:trPr>
          <w:tblHeader/>
          <w:tblCellSpacing w:w="15" w:type="dxa"/>
          <w:jc w:val="center"/>
        </w:trPr>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Nội dung Công khai</w:t>
            </w:r>
          </w:p>
        </w:tc>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Chi tiết</w:t>
            </w:r>
          </w:p>
        </w:tc>
        <w:tc>
          <w:tcPr>
            <w:tcW w:w="0" w:type="auto"/>
            <w:vAlign w:val="center"/>
            <w:hideMark/>
          </w:tcPr>
          <w:p w:rsidR="004D709C" w:rsidRPr="004D709C" w:rsidRDefault="004D709C" w:rsidP="004D709C">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Mẫu biểu Kèm theo</w:t>
            </w:r>
          </w:p>
        </w:tc>
      </w:tr>
      <w:tr w:rsidR="004D709C" w:rsidRPr="004D709C" w:rsidTr="004D709C">
        <w:trPr>
          <w:tblCellSpacing w:w="15" w:type="dxa"/>
          <w:jc w:val="center"/>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Trình tự thực hiện</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Bước 1 (GV/NV):</w:t>
            </w:r>
            <w:r w:rsidRPr="004D709C">
              <w:rPr>
                <w:rFonts w:eastAsia="Times New Roman" w:cs="Times New Roman"/>
                <w:sz w:val="24"/>
                <w:szCs w:val="24"/>
                <w:lang w:val="en-US" w:eastAsia="en-US" w:bidi="ar-SA"/>
              </w:rPr>
              <w:t xml:space="preserve"> Lập hồ sơ đề nghị (tự đánh giá, kê khai thời gian công tác). </w:t>
            </w:r>
            <w:r w:rsidRPr="004D709C">
              <w:rPr>
                <w:rFonts w:eastAsia="Times New Roman" w:cs="Times New Roman"/>
                <w:b/>
                <w:bCs/>
                <w:sz w:val="24"/>
                <w:szCs w:val="24"/>
                <w:lang w:val="en-US" w:eastAsia="en-US" w:bidi="ar-SA"/>
              </w:rPr>
              <w:t>Bước 2 (Hội đồng/Tổ):</w:t>
            </w:r>
            <w:r w:rsidRPr="004D709C">
              <w:rPr>
                <w:rFonts w:eastAsia="Times New Roman" w:cs="Times New Roman"/>
                <w:sz w:val="24"/>
                <w:szCs w:val="24"/>
                <w:lang w:val="en-US" w:eastAsia="en-US" w:bidi="ar-SA"/>
              </w:rPr>
              <w:t xml:space="preserve"> Rà soát, xác nhận quá trình công tác, thời gian giữ bậc lương. </w:t>
            </w:r>
            <w:r w:rsidRPr="004D709C">
              <w:rPr>
                <w:rFonts w:eastAsia="Times New Roman" w:cs="Times New Roman"/>
                <w:b/>
                <w:bCs/>
                <w:sz w:val="24"/>
                <w:szCs w:val="24"/>
                <w:lang w:val="en-US" w:eastAsia="en-US" w:bidi="ar-SA"/>
              </w:rPr>
              <w:t>Bước 3 (Hiệu trưởng):</w:t>
            </w:r>
            <w:r w:rsidRPr="004D709C">
              <w:rPr>
                <w:rFonts w:eastAsia="Times New Roman" w:cs="Times New Roman"/>
                <w:sz w:val="24"/>
                <w:szCs w:val="24"/>
                <w:lang w:val="en-US" w:eastAsia="en-US" w:bidi="ar-SA"/>
              </w:rPr>
              <w:t xml:space="preserve"> Hoàn thiện Tờ trình đề nghị Phòng </w:t>
            </w:r>
            <w:r>
              <w:rPr>
                <w:rFonts w:eastAsia="Times New Roman" w:cs="Times New Roman"/>
                <w:sz w:val="24"/>
                <w:szCs w:val="24"/>
                <w:lang w:val="en-US" w:eastAsia="en-US" w:bidi="ar-SA"/>
              </w:rPr>
              <w:t>VH-XH</w:t>
            </w:r>
            <w:r w:rsidRPr="004D709C">
              <w:rPr>
                <w:rFonts w:eastAsia="Times New Roman" w:cs="Times New Roman"/>
                <w:sz w:val="24"/>
                <w:szCs w:val="24"/>
                <w:lang w:val="en-US" w:eastAsia="en-US" w:bidi="ar-SA"/>
              </w:rPr>
              <w:t xml:space="preserve"> (hoặc cơ quan quản lý) </w:t>
            </w:r>
            <w:r>
              <w:rPr>
                <w:rFonts w:eastAsia="Times New Roman" w:cs="Times New Roman"/>
                <w:sz w:val="24"/>
                <w:szCs w:val="24"/>
                <w:lang w:val="en-US" w:eastAsia="en-US" w:bidi="ar-SA"/>
              </w:rPr>
              <w:t xml:space="preserve">Xem xét thống nhất; Hiệu trưởng </w:t>
            </w:r>
            <w:r w:rsidRPr="004D709C">
              <w:rPr>
                <w:rFonts w:eastAsia="Times New Roman" w:cs="Times New Roman"/>
                <w:sz w:val="24"/>
                <w:szCs w:val="24"/>
                <w:lang w:val="en-US" w:eastAsia="en-US" w:bidi="ar-SA"/>
              </w:rPr>
              <w:t>ra Quyết định nâng lương.</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Mẫu 4: </w:t>
            </w:r>
            <w:r w:rsidRPr="004D709C">
              <w:rPr>
                <w:rFonts w:eastAsia="Times New Roman" w:cs="Times New Roman"/>
                <w:b/>
                <w:bCs/>
                <w:sz w:val="24"/>
                <w:szCs w:val="24"/>
                <w:lang w:val="en-US" w:eastAsia="en-US" w:bidi="ar-SA"/>
              </w:rPr>
              <w:t>Bản tự nhận xét, đánh giá quá trình công tác</w:t>
            </w:r>
            <w:r w:rsidRPr="004D709C">
              <w:rPr>
                <w:rFonts w:eastAsia="Times New Roman" w:cs="Times New Roman"/>
                <w:sz w:val="24"/>
                <w:szCs w:val="24"/>
                <w:lang w:val="en-US" w:eastAsia="en-US" w:bidi="ar-SA"/>
              </w:rPr>
              <w:t xml:space="preserve"> (Theo mẫu quy định của Phòng </w:t>
            </w:r>
            <w:r>
              <w:rPr>
                <w:rFonts w:eastAsia="Times New Roman" w:cs="Times New Roman"/>
                <w:sz w:val="24"/>
                <w:szCs w:val="24"/>
                <w:lang w:val="en-US" w:eastAsia="en-US" w:bidi="ar-SA"/>
              </w:rPr>
              <w:t>VH_XH</w:t>
            </w:r>
            <w:r w:rsidRPr="004D709C">
              <w:rPr>
                <w:rFonts w:eastAsia="Times New Roman" w:cs="Times New Roman"/>
                <w:sz w:val="24"/>
                <w:szCs w:val="24"/>
                <w:lang w:val="en-US" w:eastAsia="en-US" w:bidi="ar-SA"/>
              </w:rPr>
              <w:t>)</w:t>
            </w:r>
          </w:p>
        </w:tc>
      </w:tr>
      <w:tr w:rsidR="004D709C" w:rsidRPr="004D709C" w:rsidTr="004D709C">
        <w:trPr>
          <w:tblCellSpacing w:w="15" w:type="dxa"/>
          <w:jc w:val="center"/>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Điều kiện Nâng lương</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Đã giữ bậc lương đang hưởng đủ thời gian quy định (là 3 năm)</w:t>
            </w:r>
            <w:r>
              <w:rPr>
                <w:rFonts w:eastAsia="Times New Roman" w:cs="Times New Roman"/>
                <w:sz w:val="24"/>
                <w:szCs w:val="24"/>
                <w:lang w:val="en-US" w:eastAsia="en-US" w:bidi="ar-SA"/>
              </w:rPr>
              <w:t xml:space="preserve"> đối với GV Hạng II; Hạng III; (2 năm) Đối với nhân viên Hạng IV</w:t>
            </w:r>
            <w:r w:rsidRPr="004D709C">
              <w:rPr>
                <w:rFonts w:eastAsia="Times New Roman" w:cs="Times New Roman"/>
                <w:sz w:val="24"/>
                <w:szCs w:val="24"/>
                <w:lang w:val="en-US" w:eastAsia="en-US" w:bidi="ar-SA"/>
              </w:rPr>
              <w:t xml:space="preserve">; Được cấp có thẩm quyền đánh giá từ </w:t>
            </w:r>
            <w:r w:rsidRPr="004D709C">
              <w:rPr>
                <w:rFonts w:eastAsia="Times New Roman" w:cs="Times New Roman"/>
                <w:b/>
                <w:bCs/>
                <w:sz w:val="24"/>
                <w:szCs w:val="24"/>
                <w:lang w:val="en-US" w:eastAsia="en-US" w:bidi="ar-SA"/>
              </w:rPr>
              <w:t>Mức Hoàn thành nhiệm vụ trở lên</w:t>
            </w:r>
            <w:r w:rsidRPr="004D709C">
              <w:rPr>
                <w:rFonts w:eastAsia="Times New Roman" w:cs="Times New Roman"/>
                <w:sz w:val="24"/>
                <w:szCs w:val="24"/>
                <w:lang w:val="en-US" w:eastAsia="en-US" w:bidi="ar-SA"/>
              </w:rPr>
              <w:t>.</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Mẫu 5: </w:t>
            </w:r>
            <w:r w:rsidRPr="004D709C">
              <w:rPr>
                <w:rFonts w:eastAsia="Times New Roman" w:cs="Times New Roman"/>
                <w:b/>
                <w:bCs/>
                <w:sz w:val="24"/>
                <w:szCs w:val="24"/>
                <w:lang w:val="en-US" w:eastAsia="en-US" w:bidi="ar-SA"/>
              </w:rPr>
              <w:t>Biên bản họp Hội đồng nâng lương</w:t>
            </w:r>
          </w:p>
        </w:tc>
      </w:tr>
      <w:tr w:rsidR="004D709C" w:rsidRPr="004D709C" w:rsidTr="004D709C">
        <w:trPr>
          <w:tblCellSpacing w:w="15" w:type="dxa"/>
          <w:jc w:val="center"/>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Thành phần Hồ sơ</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1. Tờ trình đề nghị của Hiệu trưởng. 2. Bản tự nhận xét, đánh giá (Mẫu 4). 3. Bản sao Quyết định lương hiện hưởng. 4. Các minh chứng về hoàn thành nhiệm vụ (ví dụ: các Quyết định đánh giá, xếp loại công chức, viên chức hàng năm).</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r w:rsidR="004D709C" w:rsidRPr="004D709C" w:rsidTr="004D709C">
        <w:trPr>
          <w:tblCellSpacing w:w="15" w:type="dxa"/>
          <w:jc w:val="center"/>
        </w:trPr>
        <w:tc>
          <w:tcPr>
            <w:tcW w:w="0" w:type="auto"/>
            <w:vAlign w:val="center"/>
            <w:hideMark/>
          </w:tcPr>
          <w:p w:rsidR="004D709C" w:rsidRPr="004D709C" w:rsidRDefault="004D709C" w:rsidP="004D709C">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Căn cứ pháp lý</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Nghị định 204/2004/NĐ-CP (về chế độ tiền lương); Thông tư 08/2013/TT-BNV (hướng dẫn thực hiện chế độ nâng bậc lương thường xuyên).</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bl>
    <w:p w:rsidR="004D709C" w:rsidRPr="004D709C" w:rsidRDefault="004D709C" w:rsidP="004D709C">
      <w:pPr>
        <w:spacing w:before="100" w:beforeAutospacing="1" w:after="100" w:afterAutospacing="1"/>
        <w:outlineLvl w:val="1"/>
        <w:rPr>
          <w:rFonts w:eastAsia="Times New Roman" w:cs="Times New Roman"/>
          <w:b/>
          <w:bCs/>
          <w:sz w:val="28"/>
          <w:szCs w:val="28"/>
          <w:lang w:val="en-US" w:eastAsia="en-US" w:bidi="ar-SA"/>
        </w:rPr>
      </w:pPr>
      <w:r w:rsidRPr="004D709C">
        <w:rPr>
          <w:rFonts w:eastAsia="Times New Roman" w:cs="Times New Roman"/>
          <w:b/>
          <w:bCs/>
          <w:sz w:val="28"/>
          <w:szCs w:val="28"/>
          <w:lang w:val="en-US" w:eastAsia="en-US" w:bidi="ar-SA"/>
        </w:rPr>
        <w:t>III. THỦ TỤC CÔNG KHAI TÀI CHÍNH VÀ QUẢN LÝ TÀI SẢN</w:t>
      </w:r>
    </w:p>
    <w:p w:rsidR="004D709C" w:rsidRPr="004D709C" w:rsidRDefault="004D709C" w:rsidP="004D709C">
      <w:pPr>
        <w:spacing w:before="100" w:beforeAutospacing="1" w:after="100" w:afterAutospacing="1"/>
        <w:outlineLvl w:val="2"/>
        <w:rPr>
          <w:rFonts w:eastAsia="Times New Roman" w:cs="Times New Roman"/>
          <w:b/>
          <w:bCs/>
          <w:sz w:val="27"/>
          <w:szCs w:val="27"/>
          <w:lang w:val="en-US" w:eastAsia="en-US" w:bidi="ar-SA"/>
        </w:rPr>
      </w:pPr>
      <w:r w:rsidRPr="004D709C">
        <w:rPr>
          <w:rFonts w:eastAsia="Times New Roman" w:cs="Times New Roman"/>
          <w:b/>
          <w:bCs/>
          <w:sz w:val="27"/>
          <w:szCs w:val="27"/>
          <w:lang w:val="en-US" w:eastAsia="en-US" w:bidi="ar-SA"/>
        </w:rPr>
        <w:t>4. Thủ tục Công khai thu, chi tài chính và các khoản đóng góp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2"/>
        <w:gridCol w:w="5383"/>
        <w:gridCol w:w="3508"/>
      </w:tblGrid>
      <w:tr w:rsidR="00AF1047" w:rsidRPr="004D709C" w:rsidTr="00AF1047">
        <w:trPr>
          <w:tblHeader/>
          <w:tblCellSpacing w:w="15" w:type="dxa"/>
        </w:trPr>
        <w:tc>
          <w:tcPr>
            <w:tcW w:w="0" w:type="auto"/>
            <w:vAlign w:val="center"/>
            <w:hideMark/>
          </w:tcPr>
          <w:p w:rsidR="004D709C" w:rsidRPr="004D709C" w:rsidRDefault="004D709C" w:rsidP="00AF1047">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Nội dung Công khai</w:t>
            </w:r>
          </w:p>
        </w:tc>
        <w:tc>
          <w:tcPr>
            <w:tcW w:w="0" w:type="auto"/>
            <w:vAlign w:val="center"/>
            <w:hideMark/>
          </w:tcPr>
          <w:p w:rsidR="004D709C" w:rsidRPr="004D709C" w:rsidRDefault="004D709C" w:rsidP="00AF1047">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Chi tiết</w:t>
            </w:r>
          </w:p>
        </w:tc>
        <w:tc>
          <w:tcPr>
            <w:tcW w:w="0" w:type="auto"/>
            <w:vAlign w:val="center"/>
            <w:hideMark/>
          </w:tcPr>
          <w:p w:rsidR="004D709C" w:rsidRPr="004D709C" w:rsidRDefault="004D709C" w:rsidP="00AF1047">
            <w:pPr>
              <w:spacing w:before="0"/>
              <w:jc w:val="center"/>
              <w:rPr>
                <w:rFonts w:eastAsia="Times New Roman" w:cs="Times New Roman"/>
                <w:b/>
                <w:sz w:val="24"/>
                <w:szCs w:val="24"/>
                <w:lang w:val="en-US" w:eastAsia="en-US" w:bidi="ar-SA"/>
              </w:rPr>
            </w:pPr>
            <w:r w:rsidRPr="004D709C">
              <w:rPr>
                <w:rFonts w:eastAsia="Times New Roman" w:cs="Times New Roman"/>
                <w:b/>
                <w:sz w:val="24"/>
                <w:szCs w:val="24"/>
                <w:lang w:val="en-US" w:eastAsia="en-US" w:bidi="ar-SA"/>
              </w:rPr>
              <w:t>Mẫu biểu Kèm theo</w:t>
            </w:r>
          </w:p>
        </w:tc>
      </w:tr>
      <w:tr w:rsidR="00AF1047" w:rsidRPr="004D709C" w:rsidTr="00AF1047">
        <w:trPr>
          <w:tblCellSpacing w:w="15" w:type="dxa"/>
        </w:trPr>
        <w:tc>
          <w:tcPr>
            <w:tcW w:w="0" w:type="auto"/>
            <w:vAlign w:val="center"/>
            <w:hideMark/>
          </w:tcPr>
          <w:p w:rsidR="004D709C" w:rsidRPr="004D709C" w:rsidRDefault="004D709C" w:rsidP="00AF1047">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Nội dung Công khai</w:t>
            </w:r>
          </w:p>
        </w:tc>
        <w:tc>
          <w:tcPr>
            <w:tcW w:w="0" w:type="auto"/>
            <w:vAlign w:val="center"/>
            <w:hideMark/>
          </w:tcPr>
          <w:p w:rsidR="00AF1047"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1. Dự toán và Quyết toán thu chi ngân sách:</w:t>
            </w:r>
            <w:r w:rsidRPr="004D709C">
              <w:rPr>
                <w:rFonts w:eastAsia="Times New Roman" w:cs="Times New Roman"/>
                <w:sz w:val="24"/>
                <w:szCs w:val="24"/>
                <w:lang w:val="en-US" w:eastAsia="en-US" w:bidi="ar-SA"/>
              </w:rPr>
              <w:t xml:space="preserve"> Các nguồn thu (Ngân sách nhà nước cấp), các khoản chi theo các hoạt động. </w:t>
            </w:r>
          </w:p>
          <w:p w:rsidR="00AF1047"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2. Các khoản thu khác:</w:t>
            </w:r>
            <w:r w:rsidRPr="004D709C">
              <w:rPr>
                <w:rFonts w:eastAsia="Times New Roman" w:cs="Times New Roman"/>
                <w:sz w:val="24"/>
                <w:szCs w:val="24"/>
                <w:lang w:val="en-US" w:eastAsia="en-US" w:bidi="ar-SA"/>
              </w:rPr>
              <w:t xml:space="preserve"> Học phí (nếu có); các khoản thu phục vụ học sinh (ví dụ: đồng phục, tiền ăn bán trú, ...). </w:t>
            </w:r>
          </w:p>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3. Kết quả kiểm toán, thanh tra</w:t>
            </w:r>
            <w:r w:rsidRPr="004D709C">
              <w:rPr>
                <w:rFonts w:eastAsia="Times New Roman" w:cs="Times New Roman"/>
                <w:sz w:val="24"/>
                <w:szCs w:val="24"/>
                <w:lang w:val="en-US" w:eastAsia="en-US" w:bidi="ar-SA"/>
              </w:rPr>
              <w:t xml:space="preserve"> (nếu có).</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Mẫu 6: </w:t>
            </w:r>
            <w:r w:rsidRPr="004D709C">
              <w:rPr>
                <w:rFonts w:eastAsia="Times New Roman" w:cs="Times New Roman"/>
                <w:b/>
                <w:bCs/>
                <w:sz w:val="24"/>
                <w:szCs w:val="24"/>
                <w:lang w:val="en-US" w:eastAsia="en-US" w:bidi="ar-SA"/>
              </w:rPr>
              <w:t>Biểu mẫu Công khai thu, chi ngân sách</w:t>
            </w:r>
            <w:r w:rsidRPr="004D709C">
              <w:rPr>
                <w:rFonts w:eastAsia="Times New Roman" w:cs="Times New Roman"/>
                <w:sz w:val="24"/>
                <w:szCs w:val="24"/>
                <w:lang w:val="en-US" w:eastAsia="en-US" w:bidi="ar-SA"/>
              </w:rPr>
              <w:t xml:space="preserve"> (Theo mẫu quy định tại Thông tư </w:t>
            </w:r>
            <w:r w:rsidR="00AF1047">
              <w:rPr>
                <w:rFonts w:eastAsia="Times New Roman" w:cs="Times New Roman"/>
                <w:sz w:val="24"/>
                <w:szCs w:val="24"/>
                <w:lang w:val="en-US" w:eastAsia="en-US" w:bidi="ar-SA"/>
              </w:rPr>
              <w:t>09</w:t>
            </w:r>
            <w:r w:rsidRPr="004D709C">
              <w:rPr>
                <w:rFonts w:eastAsia="Times New Roman" w:cs="Times New Roman"/>
                <w:sz w:val="24"/>
                <w:szCs w:val="24"/>
                <w:lang w:val="en-US" w:eastAsia="en-US" w:bidi="ar-SA"/>
              </w:rPr>
              <w:t>/20</w:t>
            </w:r>
            <w:r w:rsidR="00AF1047">
              <w:rPr>
                <w:rFonts w:eastAsia="Times New Roman" w:cs="Times New Roman"/>
                <w:sz w:val="24"/>
                <w:szCs w:val="24"/>
                <w:lang w:val="en-US" w:eastAsia="en-US" w:bidi="ar-SA"/>
              </w:rPr>
              <w:t>24</w:t>
            </w:r>
            <w:r w:rsidRPr="004D709C">
              <w:rPr>
                <w:rFonts w:eastAsia="Times New Roman" w:cs="Times New Roman"/>
                <w:sz w:val="24"/>
                <w:szCs w:val="24"/>
                <w:lang w:val="en-US" w:eastAsia="en-US" w:bidi="ar-SA"/>
              </w:rPr>
              <w:t>/TT-BGDĐT)</w:t>
            </w:r>
          </w:p>
        </w:tc>
      </w:tr>
      <w:tr w:rsidR="00AF1047" w:rsidRPr="004D709C" w:rsidTr="00AF1047">
        <w:trPr>
          <w:tblCellSpacing w:w="15" w:type="dxa"/>
        </w:trPr>
        <w:tc>
          <w:tcPr>
            <w:tcW w:w="0" w:type="auto"/>
            <w:vAlign w:val="center"/>
            <w:hideMark/>
          </w:tcPr>
          <w:p w:rsidR="004D709C" w:rsidRPr="004D709C" w:rsidRDefault="004D709C" w:rsidP="00AF1047">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lastRenderedPageBreak/>
              <w:t>Hình thức Công khai</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Đăng tải trên </w:t>
            </w:r>
            <w:r w:rsidRPr="004D709C">
              <w:rPr>
                <w:rFonts w:eastAsia="Times New Roman" w:cs="Times New Roman"/>
                <w:b/>
                <w:bCs/>
                <w:sz w:val="24"/>
                <w:szCs w:val="24"/>
                <w:lang w:val="en-US" w:eastAsia="en-US" w:bidi="ar-SA"/>
              </w:rPr>
              <w:t>Website của nhà trường</w:t>
            </w:r>
            <w:r w:rsidRPr="004D709C">
              <w:rPr>
                <w:rFonts w:eastAsia="Times New Roman" w:cs="Times New Roman"/>
                <w:sz w:val="24"/>
                <w:szCs w:val="24"/>
                <w:lang w:val="en-US" w:eastAsia="en-US" w:bidi="ar-SA"/>
              </w:rPr>
              <w:t xml:space="preserve"> </w:t>
            </w:r>
            <w:r w:rsidR="00AF1047">
              <w:rPr>
                <w:rFonts w:eastAsia="Times New Roman" w:cs="Times New Roman"/>
                <w:sz w:val="24"/>
                <w:szCs w:val="24"/>
                <w:lang w:val="en-US" w:eastAsia="en-US" w:bidi="ar-SA"/>
              </w:rPr>
              <w:t xml:space="preserve"> Báo cáo thường niên </w:t>
            </w:r>
            <w:r w:rsidRPr="004D709C">
              <w:rPr>
                <w:rFonts w:eastAsia="Times New Roman" w:cs="Times New Roman"/>
                <w:sz w:val="24"/>
                <w:szCs w:val="24"/>
                <w:lang w:val="en-US" w:eastAsia="en-US" w:bidi="ar-SA"/>
              </w:rPr>
              <w:t>(mục "Công khai Tài chính"); Niêm yết tại Bảng tin của trường; Báo cáo tại Hội nghị CBGVNV; Thông báo bằng văn bản tới PHHS.</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Mẫu 7: </w:t>
            </w:r>
            <w:r w:rsidRPr="004D709C">
              <w:rPr>
                <w:rFonts w:eastAsia="Times New Roman" w:cs="Times New Roman"/>
                <w:b/>
                <w:bCs/>
                <w:sz w:val="24"/>
                <w:szCs w:val="24"/>
                <w:lang w:val="en-US" w:eastAsia="en-US" w:bidi="ar-SA"/>
              </w:rPr>
              <w:t>Báo cáo Công khai chất lượng giáo dục thực tế</w:t>
            </w:r>
            <w:r w:rsidRPr="004D709C">
              <w:rPr>
                <w:rFonts w:eastAsia="Times New Roman" w:cs="Times New Roman"/>
                <w:sz w:val="24"/>
                <w:szCs w:val="24"/>
                <w:lang w:val="en-US" w:eastAsia="en-US" w:bidi="ar-SA"/>
              </w:rPr>
              <w:t xml:space="preserve"> (Mẫu ban hành kèm Thông tư </w:t>
            </w:r>
            <w:r w:rsidR="00AF1047">
              <w:rPr>
                <w:rFonts w:eastAsia="Times New Roman" w:cs="Times New Roman"/>
                <w:sz w:val="24"/>
                <w:szCs w:val="24"/>
                <w:lang w:val="en-US" w:eastAsia="en-US" w:bidi="ar-SA"/>
              </w:rPr>
              <w:t>09</w:t>
            </w:r>
            <w:r w:rsidRPr="004D709C">
              <w:rPr>
                <w:rFonts w:eastAsia="Times New Roman" w:cs="Times New Roman"/>
                <w:sz w:val="24"/>
                <w:szCs w:val="24"/>
                <w:lang w:val="en-US" w:eastAsia="en-US" w:bidi="ar-SA"/>
              </w:rPr>
              <w:t>/20</w:t>
            </w:r>
            <w:r w:rsidR="00AF1047">
              <w:rPr>
                <w:rFonts w:eastAsia="Times New Roman" w:cs="Times New Roman"/>
                <w:sz w:val="24"/>
                <w:szCs w:val="24"/>
                <w:lang w:val="en-US" w:eastAsia="en-US" w:bidi="ar-SA"/>
              </w:rPr>
              <w:t>24</w:t>
            </w:r>
            <w:r w:rsidRPr="004D709C">
              <w:rPr>
                <w:rFonts w:eastAsia="Times New Roman" w:cs="Times New Roman"/>
                <w:sz w:val="24"/>
                <w:szCs w:val="24"/>
                <w:lang w:val="en-US" w:eastAsia="en-US" w:bidi="ar-SA"/>
              </w:rPr>
              <w:t>/TT-BGDĐT)</w:t>
            </w:r>
          </w:p>
        </w:tc>
      </w:tr>
      <w:tr w:rsidR="00AF1047" w:rsidRPr="004D709C" w:rsidTr="00AF1047">
        <w:trPr>
          <w:tblCellSpacing w:w="15" w:type="dxa"/>
        </w:trPr>
        <w:tc>
          <w:tcPr>
            <w:tcW w:w="0" w:type="auto"/>
            <w:vAlign w:val="center"/>
            <w:hideMark/>
          </w:tcPr>
          <w:p w:rsidR="004D709C" w:rsidRPr="004D709C" w:rsidRDefault="004D709C" w:rsidP="00AF1047">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Thời điểm Công khai</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Định kỳ:</w:t>
            </w:r>
            <w:r w:rsidRPr="004D709C">
              <w:rPr>
                <w:rFonts w:eastAsia="Times New Roman" w:cs="Times New Roman"/>
                <w:sz w:val="24"/>
                <w:szCs w:val="24"/>
                <w:lang w:val="en-US" w:eastAsia="en-US" w:bidi="ar-SA"/>
              </w:rPr>
              <w:t xml:space="preserve"> Công khai dự toán vào quý I hàng năm; Công khai quyết toán sau khi được phê duyệt. </w:t>
            </w:r>
            <w:r w:rsidRPr="004D709C">
              <w:rPr>
                <w:rFonts w:eastAsia="Times New Roman" w:cs="Times New Roman"/>
                <w:b/>
                <w:bCs/>
                <w:sz w:val="24"/>
                <w:szCs w:val="24"/>
                <w:lang w:val="en-US" w:eastAsia="en-US" w:bidi="ar-SA"/>
              </w:rPr>
              <w:t>Đột xuất:</w:t>
            </w:r>
            <w:r w:rsidRPr="004D709C">
              <w:rPr>
                <w:rFonts w:eastAsia="Times New Roman" w:cs="Times New Roman"/>
                <w:sz w:val="24"/>
                <w:szCs w:val="24"/>
                <w:lang w:val="en-US" w:eastAsia="en-US" w:bidi="ar-SA"/>
              </w:rPr>
              <w:t xml:space="preserve"> Khi có yêu cầu của cấp quản lý, cơ quan thanh tra.</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p>
        </w:tc>
      </w:tr>
      <w:tr w:rsidR="00AF1047" w:rsidRPr="004D709C" w:rsidTr="00AF1047">
        <w:trPr>
          <w:tblCellSpacing w:w="15" w:type="dxa"/>
        </w:trPr>
        <w:tc>
          <w:tcPr>
            <w:tcW w:w="0" w:type="auto"/>
            <w:vAlign w:val="center"/>
            <w:hideMark/>
          </w:tcPr>
          <w:p w:rsidR="004D709C" w:rsidRPr="004D709C" w:rsidRDefault="004D709C" w:rsidP="00AF1047">
            <w:pPr>
              <w:spacing w:before="0"/>
              <w:jc w:val="center"/>
              <w:rPr>
                <w:rFonts w:eastAsia="Times New Roman" w:cs="Times New Roman"/>
                <w:sz w:val="24"/>
                <w:szCs w:val="24"/>
                <w:lang w:val="en-US" w:eastAsia="en-US" w:bidi="ar-SA"/>
              </w:rPr>
            </w:pPr>
            <w:r w:rsidRPr="004D709C">
              <w:rPr>
                <w:rFonts w:eastAsia="Times New Roman" w:cs="Times New Roman"/>
                <w:b/>
                <w:bCs/>
                <w:sz w:val="24"/>
                <w:szCs w:val="24"/>
                <w:lang w:val="en-US" w:eastAsia="en-US" w:bidi="ar-SA"/>
              </w:rPr>
              <w:t>Căn cứ pháp lý</w:t>
            </w:r>
          </w:p>
        </w:tc>
        <w:tc>
          <w:tcPr>
            <w:tcW w:w="0" w:type="auto"/>
            <w:vAlign w:val="center"/>
            <w:hideMark/>
          </w:tcPr>
          <w:p w:rsidR="004D709C" w:rsidRPr="004D709C" w:rsidRDefault="004D709C" w:rsidP="004D709C">
            <w:pPr>
              <w:spacing w:before="0"/>
              <w:rPr>
                <w:rFonts w:eastAsia="Times New Roman" w:cs="Times New Roman"/>
                <w:sz w:val="24"/>
                <w:szCs w:val="24"/>
                <w:lang w:val="en-US" w:eastAsia="en-US" w:bidi="ar-SA"/>
              </w:rPr>
            </w:pPr>
            <w:r w:rsidRPr="004D709C">
              <w:rPr>
                <w:rFonts w:eastAsia="Times New Roman" w:cs="Times New Roman"/>
                <w:sz w:val="24"/>
                <w:szCs w:val="24"/>
                <w:lang w:val="en-US" w:eastAsia="en-US" w:bidi="ar-SA"/>
              </w:rPr>
              <w:t xml:space="preserve">Thông tư </w:t>
            </w:r>
            <w:r w:rsidR="00AF1047">
              <w:rPr>
                <w:rFonts w:eastAsia="Times New Roman" w:cs="Times New Roman"/>
                <w:sz w:val="24"/>
                <w:szCs w:val="24"/>
                <w:lang w:val="en-US" w:eastAsia="en-US" w:bidi="ar-SA"/>
              </w:rPr>
              <w:t>09/2024</w:t>
            </w:r>
            <w:r w:rsidRPr="004D709C">
              <w:rPr>
                <w:rFonts w:eastAsia="Times New Roman" w:cs="Times New Roman"/>
                <w:sz w:val="24"/>
                <w:szCs w:val="24"/>
                <w:lang w:val="en-US" w:eastAsia="en-US" w:bidi="ar-SA"/>
              </w:rPr>
              <w:t>/TT-BGDĐT (về Quy chế thực hiện công khai đối với cơ sở giáo dục của hệ thống giáo dục quốc dân).</w:t>
            </w:r>
          </w:p>
        </w:tc>
        <w:tc>
          <w:tcPr>
            <w:tcW w:w="0" w:type="auto"/>
            <w:vAlign w:val="center"/>
            <w:hideMark/>
          </w:tcPr>
          <w:p w:rsidR="004D709C" w:rsidRPr="004D709C" w:rsidRDefault="004D709C" w:rsidP="004D709C">
            <w:pPr>
              <w:spacing w:before="0"/>
              <w:rPr>
                <w:rFonts w:eastAsia="Times New Roman" w:cs="Times New Roman"/>
                <w:sz w:val="20"/>
                <w:szCs w:val="20"/>
                <w:lang w:val="en-US" w:eastAsia="en-US" w:bidi="ar-SA"/>
              </w:rPr>
            </w:pPr>
          </w:p>
        </w:tc>
      </w:tr>
    </w:tbl>
    <w:p w:rsidR="009B1E98" w:rsidRPr="00800ABC" w:rsidRDefault="00800ABC">
      <w:pPr>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800ABC">
        <w:rPr>
          <w:b/>
          <w:lang w:val="en-US"/>
        </w:rPr>
        <w:t>HIỆU TRƯỞNG</w:t>
      </w:r>
    </w:p>
    <w:p w:rsidR="00800ABC" w:rsidRDefault="00800ABC">
      <w:pPr>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800ABC">
        <w:rPr>
          <w:b/>
          <w:noProof/>
          <w:sz w:val="28"/>
          <w:szCs w:val="28"/>
          <w:lang w:val="en-US"/>
        </w:rPr>
        <w:drawing>
          <wp:inline distT="0" distB="0" distL="0" distR="0">
            <wp:extent cx="2343150" cy="1162050"/>
            <wp:effectExtent l="0" t="0" r="0" b="0"/>
            <wp:docPr id="2" name="Picture 2" descr="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ý"/>
                    <pic:cNvPicPr>
                      <a:picLocks noChangeAspect="1" noChangeArrowheads="1"/>
                    </pic:cNvPicPr>
                  </pic:nvPicPr>
                  <pic:blipFill>
                    <a:blip r:embed="rId4" cstate="print">
                      <a:lum bright="40000"/>
                      <a:extLst>
                        <a:ext uri="{28A0092B-C50C-407E-A947-70E740481C1C}">
                          <a14:useLocalDpi xmlns:a14="http://schemas.microsoft.com/office/drawing/2010/main" val="0"/>
                        </a:ext>
                      </a:extLst>
                    </a:blip>
                    <a:srcRect/>
                    <a:stretch>
                      <a:fillRect/>
                    </a:stretch>
                  </pic:blipFill>
                  <pic:spPr bwMode="auto">
                    <a:xfrm>
                      <a:off x="0" y="0"/>
                      <a:ext cx="2343150" cy="1162050"/>
                    </a:xfrm>
                    <a:prstGeom prst="rect">
                      <a:avLst/>
                    </a:prstGeom>
                    <a:noFill/>
                    <a:ln>
                      <a:noFill/>
                    </a:ln>
                  </pic:spPr>
                </pic:pic>
              </a:graphicData>
            </a:graphic>
          </wp:inline>
        </w:drawing>
      </w:r>
    </w:p>
    <w:p w:rsidR="00800ABC" w:rsidRPr="00800ABC" w:rsidRDefault="00800ABC" w:rsidP="00800ABC">
      <w:pPr>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bookmarkStart w:id="0" w:name="_GoBack"/>
      <w:bookmarkEnd w:id="0"/>
      <w:r>
        <w:rPr>
          <w:b/>
          <w:lang w:val="en-US"/>
        </w:rPr>
        <w:t xml:space="preserve">        </w:t>
      </w:r>
      <w:r w:rsidRPr="00800ABC">
        <w:rPr>
          <w:b/>
          <w:lang w:val="en-US"/>
        </w:rPr>
        <w:t>Phan Huy Nghĩa</w:t>
      </w:r>
    </w:p>
    <w:sectPr w:rsidR="00800ABC" w:rsidRPr="00800ABC" w:rsidSect="004D709C">
      <w:pgSz w:w="11907" w:h="16840" w:code="9"/>
      <w:pgMar w:top="851" w:right="708" w:bottom="851" w:left="1276" w:header="437" w:footer="36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9C"/>
    <w:rsid w:val="0026705E"/>
    <w:rsid w:val="00272233"/>
    <w:rsid w:val="002F3456"/>
    <w:rsid w:val="003B4BE2"/>
    <w:rsid w:val="004D709C"/>
    <w:rsid w:val="00573FC3"/>
    <w:rsid w:val="00800ABC"/>
    <w:rsid w:val="009869C9"/>
    <w:rsid w:val="009B1E98"/>
    <w:rsid w:val="00AF1047"/>
    <w:rsid w:val="00B602FD"/>
    <w:rsid w:val="00E4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DEE9"/>
  <w15:chartTrackingRefBased/>
  <w15:docId w15:val="{569ADD5B-82C0-4286-951C-77407B17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vi-VN"/>
      </w:rPr>
    </w:rPrDefault>
    <w:pPrDefault>
      <w:pPr>
        <w:spacing w:before="120" w:after="60" w:line="3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after="0" w:line="240" w:lineRule="auto"/>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602FD"/>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02FD"/>
    <w:pPr>
      <w:keepNext/>
      <w:keepLines/>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4D709C"/>
    <w:pPr>
      <w:spacing w:before="100" w:beforeAutospacing="1" w:after="100" w:afterAutospacing="1"/>
    </w:pPr>
    <w:rPr>
      <w:rFonts w:eastAsia="Times New Roman" w:cs="Times New Roman"/>
      <w:sz w:val="24"/>
      <w:szCs w:val="24"/>
      <w:lang w:val="en-US" w:eastAsia="en-US" w:bidi="ar-SA"/>
    </w:rPr>
  </w:style>
  <w:style w:type="character" w:customStyle="1" w:styleId="export-sheets-button">
    <w:name w:val="export-sheets-button"/>
    <w:basedOn w:val="DefaultParagraphFont"/>
    <w:rsid w:val="004D709C"/>
  </w:style>
  <w:style w:type="table" w:styleId="TableGrid">
    <w:name w:val="Table Grid"/>
    <w:basedOn w:val="TableNormal"/>
    <w:uiPriority w:val="39"/>
    <w:rsid w:val="004D709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374036">
      <w:bodyDiv w:val="1"/>
      <w:marLeft w:val="0"/>
      <w:marRight w:val="0"/>
      <w:marTop w:val="0"/>
      <w:marBottom w:val="0"/>
      <w:divBdr>
        <w:top w:val="none" w:sz="0" w:space="0" w:color="auto"/>
        <w:left w:val="none" w:sz="0" w:space="0" w:color="auto"/>
        <w:bottom w:val="none" w:sz="0" w:space="0" w:color="auto"/>
        <w:right w:val="none" w:sz="0" w:space="0" w:color="auto"/>
      </w:divBdr>
      <w:divsChild>
        <w:div w:id="1072433997">
          <w:marLeft w:val="0"/>
          <w:marRight w:val="0"/>
          <w:marTop w:val="0"/>
          <w:marBottom w:val="0"/>
          <w:divBdr>
            <w:top w:val="none" w:sz="0" w:space="0" w:color="auto"/>
            <w:left w:val="none" w:sz="0" w:space="0" w:color="auto"/>
            <w:bottom w:val="none" w:sz="0" w:space="0" w:color="auto"/>
            <w:right w:val="none" w:sz="0" w:space="0" w:color="auto"/>
          </w:divBdr>
          <w:divsChild>
            <w:div w:id="1817914132">
              <w:marLeft w:val="0"/>
              <w:marRight w:val="0"/>
              <w:marTop w:val="0"/>
              <w:marBottom w:val="0"/>
              <w:divBdr>
                <w:top w:val="none" w:sz="0" w:space="0" w:color="auto"/>
                <w:left w:val="none" w:sz="0" w:space="0" w:color="auto"/>
                <w:bottom w:val="none" w:sz="0" w:space="0" w:color="auto"/>
                <w:right w:val="none" w:sz="0" w:space="0" w:color="auto"/>
              </w:divBdr>
              <w:divsChild>
                <w:div w:id="1503158572">
                  <w:marLeft w:val="0"/>
                  <w:marRight w:val="0"/>
                  <w:marTop w:val="0"/>
                  <w:marBottom w:val="0"/>
                  <w:divBdr>
                    <w:top w:val="none" w:sz="0" w:space="0" w:color="auto"/>
                    <w:left w:val="none" w:sz="0" w:space="0" w:color="auto"/>
                    <w:bottom w:val="none" w:sz="0" w:space="0" w:color="auto"/>
                    <w:right w:val="none" w:sz="0" w:space="0" w:color="auto"/>
                  </w:divBdr>
                  <w:divsChild>
                    <w:div w:id="327026900">
                      <w:marLeft w:val="0"/>
                      <w:marRight w:val="0"/>
                      <w:marTop w:val="0"/>
                      <w:marBottom w:val="0"/>
                      <w:divBdr>
                        <w:top w:val="none" w:sz="0" w:space="0" w:color="auto"/>
                        <w:left w:val="none" w:sz="0" w:space="0" w:color="auto"/>
                        <w:bottom w:val="none" w:sz="0" w:space="0" w:color="auto"/>
                        <w:right w:val="none" w:sz="0" w:space="0" w:color="auto"/>
                      </w:divBdr>
                    </w:div>
                    <w:div w:id="815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2564">
          <w:marLeft w:val="0"/>
          <w:marRight w:val="0"/>
          <w:marTop w:val="0"/>
          <w:marBottom w:val="0"/>
          <w:divBdr>
            <w:top w:val="none" w:sz="0" w:space="0" w:color="auto"/>
            <w:left w:val="none" w:sz="0" w:space="0" w:color="auto"/>
            <w:bottom w:val="none" w:sz="0" w:space="0" w:color="auto"/>
            <w:right w:val="none" w:sz="0" w:space="0" w:color="auto"/>
          </w:divBdr>
          <w:divsChild>
            <w:div w:id="751583721">
              <w:marLeft w:val="0"/>
              <w:marRight w:val="0"/>
              <w:marTop w:val="0"/>
              <w:marBottom w:val="0"/>
              <w:divBdr>
                <w:top w:val="none" w:sz="0" w:space="0" w:color="auto"/>
                <w:left w:val="none" w:sz="0" w:space="0" w:color="auto"/>
                <w:bottom w:val="none" w:sz="0" w:space="0" w:color="auto"/>
                <w:right w:val="none" w:sz="0" w:space="0" w:color="auto"/>
              </w:divBdr>
              <w:divsChild>
                <w:div w:id="481315319">
                  <w:marLeft w:val="0"/>
                  <w:marRight w:val="0"/>
                  <w:marTop w:val="0"/>
                  <w:marBottom w:val="0"/>
                  <w:divBdr>
                    <w:top w:val="none" w:sz="0" w:space="0" w:color="auto"/>
                    <w:left w:val="none" w:sz="0" w:space="0" w:color="auto"/>
                    <w:bottom w:val="none" w:sz="0" w:space="0" w:color="auto"/>
                    <w:right w:val="none" w:sz="0" w:space="0" w:color="auto"/>
                  </w:divBdr>
                  <w:divsChild>
                    <w:div w:id="1370761174">
                      <w:marLeft w:val="0"/>
                      <w:marRight w:val="0"/>
                      <w:marTop w:val="0"/>
                      <w:marBottom w:val="0"/>
                      <w:divBdr>
                        <w:top w:val="none" w:sz="0" w:space="0" w:color="auto"/>
                        <w:left w:val="none" w:sz="0" w:space="0" w:color="auto"/>
                        <w:bottom w:val="none" w:sz="0" w:space="0" w:color="auto"/>
                        <w:right w:val="none" w:sz="0" w:space="0" w:color="auto"/>
                      </w:divBdr>
                    </w:div>
                    <w:div w:id="13903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5600">
          <w:marLeft w:val="0"/>
          <w:marRight w:val="0"/>
          <w:marTop w:val="0"/>
          <w:marBottom w:val="0"/>
          <w:divBdr>
            <w:top w:val="none" w:sz="0" w:space="0" w:color="auto"/>
            <w:left w:val="none" w:sz="0" w:space="0" w:color="auto"/>
            <w:bottom w:val="none" w:sz="0" w:space="0" w:color="auto"/>
            <w:right w:val="none" w:sz="0" w:space="0" w:color="auto"/>
          </w:divBdr>
          <w:divsChild>
            <w:div w:id="1284460502">
              <w:marLeft w:val="0"/>
              <w:marRight w:val="0"/>
              <w:marTop w:val="0"/>
              <w:marBottom w:val="0"/>
              <w:divBdr>
                <w:top w:val="none" w:sz="0" w:space="0" w:color="auto"/>
                <w:left w:val="none" w:sz="0" w:space="0" w:color="auto"/>
                <w:bottom w:val="none" w:sz="0" w:space="0" w:color="auto"/>
                <w:right w:val="none" w:sz="0" w:space="0" w:color="auto"/>
              </w:divBdr>
              <w:divsChild>
                <w:div w:id="160390723">
                  <w:marLeft w:val="0"/>
                  <w:marRight w:val="0"/>
                  <w:marTop w:val="0"/>
                  <w:marBottom w:val="0"/>
                  <w:divBdr>
                    <w:top w:val="none" w:sz="0" w:space="0" w:color="auto"/>
                    <w:left w:val="none" w:sz="0" w:space="0" w:color="auto"/>
                    <w:bottom w:val="none" w:sz="0" w:space="0" w:color="auto"/>
                    <w:right w:val="none" w:sz="0" w:space="0" w:color="auto"/>
                  </w:divBdr>
                  <w:divsChild>
                    <w:div w:id="833374260">
                      <w:marLeft w:val="0"/>
                      <w:marRight w:val="0"/>
                      <w:marTop w:val="0"/>
                      <w:marBottom w:val="0"/>
                      <w:divBdr>
                        <w:top w:val="none" w:sz="0" w:space="0" w:color="auto"/>
                        <w:left w:val="none" w:sz="0" w:space="0" w:color="auto"/>
                        <w:bottom w:val="none" w:sz="0" w:space="0" w:color="auto"/>
                        <w:right w:val="none" w:sz="0" w:space="0" w:color="auto"/>
                      </w:divBdr>
                    </w:div>
                    <w:div w:id="5802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6994">
          <w:marLeft w:val="0"/>
          <w:marRight w:val="0"/>
          <w:marTop w:val="0"/>
          <w:marBottom w:val="0"/>
          <w:divBdr>
            <w:top w:val="none" w:sz="0" w:space="0" w:color="auto"/>
            <w:left w:val="none" w:sz="0" w:space="0" w:color="auto"/>
            <w:bottom w:val="none" w:sz="0" w:space="0" w:color="auto"/>
            <w:right w:val="none" w:sz="0" w:space="0" w:color="auto"/>
          </w:divBdr>
          <w:divsChild>
            <w:div w:id="431777544">
              <w:marLeft w:val="0"/>
              <w:marRight w:val="0"/>
              <w:marTop w:val="0"/>
              <w:marBottom w:val="0"/>
              <w:divBdr>
                <w:top w:val="none" w:sz="0" w:space="0" w:color="auto"/>
                <w:left w:val="none" w:sz="0" w:space="0" w:color="auto"/>
                <w:bottom w:val="none" w:sz="0" w:space="0" w:color="auto"/>
                <w:right w:val="none" w:sz="0" w:space="0" w:color="auto"/>
              </w:divBdr>
              <w:divsChild>
                <w:div w:id="423260862">
                  <w:marLeft w:val="0"/>
                  <w:marRight w:val="0"/>
                  <w:marTop w:val="0"/>
                  <w:marBottom w:val="0"/>
                  <w:divBdr>
                    <w:top w:val="none" w:sz="0" w:space="0" w:color="auto"/>
                    <w:left w:val="none" w:sz="0" w:space="0" w:color="auto"/>
                    <w:bottom w:val="none" w:sz="0" w:space="0" w:color="auto"/>
                    <w:right w:val="none" w:sz="0" w:space="0" w:color="auto"/>
                  </w:divBdr>
                  <w:divsChild>
                    <w:div w:id="5691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2025-10-15T00:05:00Z</dcterms:created>
  <dcterms:modified xsi:type="dcterms:W3CDTF">2025-10-15T00:24:00Z</dcterms:modified>
</cp:coreProperties>
</file>